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6E556E" w14:textId="281BD225" w:rsidR="00385E6C" w:rsidRDefault="00385E6C" w:rsidP="00385E6C">
      <w:pPr>
        <w:pStyle w:val="Heading1"/>
        <w:keepNext w:val="0"/>
        <w:keepLines w:val="0"/>
        <w:widowControl w:val="0"/>
        <w:autoSpaceDE w:val="0"/>
        <w:autoSpaceDN w:val="0"/>
        <w:spacing w:before="452" w:after="0" w:line="170" w:lineRule="auto"/>
        <w:rPr>
          <w:rFonts w:ascii="Nunito Sans Black" w:eastAsia="NunitoSans-Black" w:hAnsi="Nunito Sans Black" w:cs="NunitoSans-Black"/>
          <w:bCs/>
          <w:color w:val="7030A0"/>
          <w:spacing w:val="-27"/>
          <w:kern w:val="0"/>
          <w:sz w:val="56"/>
          <w:szCs w:val="114"/>
          <w:lang w:eastAsia="en-GB" w:bidi="en-GB"/>
          <w14:ligatures w14:val="none"/>
        </w:rPr>
      </w:pPr>
      <w:r>
        <w:rPr>
          <w:noProof/>
        </w:rPr>
        <w:drawing>
          <wp:anchor distT="0" distB="0" distL="0" distR="0" simplePos="0" relativeHeight="251659264" behindDoc="1" locked="0" layoutInCell="1" hidden="0" allowOverlap="1" wp14:anchorId="4387EC93" wp14:editId="01022B22">
            <wp:simplePos x="0" y="0"/>
            <wp:positionH relativeFrom="column">
              <wp:posOffset>2362200</wp:posOffset>
            </wp:positionH>
            <wp:positionV relativeFrom="paragraph">
              <wp:posOffset>-626745</wp:posOffset>
            </wp:positionV>
            <wp:extent cx="1488552" cy="1087120"/>
            <wp:effectExtent l="0" t="0" r="0" b="0"/>
            <wp:wrapNone/>
            <wp:docPr id="2" name="image1.png" descr="Purple logo with a black backgroun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Purple logo with a black background&#10;&#10;Description automatically generated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8552" cy="10871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97107DD" w14:textId="4AEAADD6" w:rsidR="00287ADB" w:rsidRPr="00385E6C" w:rsidRDefault="00287ADB" w:rsidP="00385E6C">
      <w:pPr>
        <w:pStyle w:val="Heading1"/>
        <w:keepNext w:val="0"/>
        <w:keepLines w:val="0"/>
        <w:widowControl w:val="0"/>
        <w:autoSpaceDE w:val="0"/>
        <w:autoSpaceDN w:val="0"/>
        <w:spacing w:before="452" w:after="0" w:line="170" w:lineRule="auto"/>
        <w:rPr>
          <w:rFonts w:ascii="Nunito Sans Black" w:eastAsia="NunitoSans-Black" w:hAnsi="Nunito Sans Black" w:cs="NunitoSans-Black"/>
          <w:bCs/>
          <w:color w:val="7614DC"/>
          <w:spacing w:val="-27"/>
          <w:kern w:val="0"/>
          <w:sz w:val="56"/>
          <w:szCs w:val="114"/>
          <w:lang w:eastAsia="en-GB" w:bidi="en-GB"/>
          <w14:ligatures w14:val="none"/>
        </w:rPr>
      </w:pPr>
      <w:bookmarkStart w:id="0" w:name="_gjdgxs" w:colFirst="0" w:colLast="0"/>
      <w:bookmarkEnd w:id="0"/>
      <w:r w:rsidRPr="00287ADB">
        <w:rPr>
          <w:rFonts w:ascii="Nunito Sans Black" w:eastAsia="NunitoSans-Black" w:hAnsi="Nunito Sans Black" w:cs="NunitoSans-Black"/>
          <w:bCs/>
          <w:color w:val="7614DC"/>
          <w:spacing w:val="-27"/>
          <w:kern w:val="0"/>
          <w:sz w:val="56"/>
          <w:szCs w:val="114"/>
          <w:lang w:eastAsia="en-GB" w:bidi="en-GB"/>
          <w14:ligatures w14:val="none"/>
        </w:rPr>
        <w:t>Conflict of Interest Policy for Scout Group Trustees</w:t>
      </w:r>
    </w:p>
    <w:p w14:paraId="20626C77" w14:textId="77777777" w:rsidR="00385E6C" w:rsidRPr="00580464" w:rsidRDefault="00385E6C" w:rsidP="00385E6C">
      <w:pPr>
        <w:pStyle w:val="Subheading"/>
        <w:rPr>
          <w:sz w:val="36"/>
          <w:szCs w:val="10"/>
        </w:rPr>
      </w:pPr>
      <w:r w:rsidRPr="00580464">
        <w:rPr>
          <w:sz w:val="36"/>
          <w:szCs w:val="10"/>
        </w:rPr>
        <w:t>1</w:t>
      </w:r>
      <w:r w:rsidRPr="00580464">
        <w:rPr>
          <w:sz w:val="36"/>
          <w:szCs w:val="10"/>
          <w:vertAlign w:val="superscript"/>
        </w:rPr>
        <w:t>st</w:t>
      </w:r>
      <w:r w:rsidRPr="00580464">
        <w:rPr>
          <w:sz w:val="36"/>
          <w:szCs w:val="10"/>
        </w:rPr>
        <w:t xml:space="preserve"> Chapel-en-le-Frith Scout Group</w:t>
      </w:r>
    </w:p>
    <w:p w14:paraId="58B7E3FE" w14:textId="77777777" w:rsidR="00385E6C" w:rsidRPr="00287ADB" w:rsidRDefault="00385E6C" w:rsidP="00385E6C">
      <w:pPr>
        <w:rPr>
          <w:lang w:eastAsia="en-GB" w:bidi="en-GB"/>
        </w:rPr>
      </w:pPr>
    </w:p>
    <w:p w14:paraId="104787A0" w14:textId="77777777" w:rsidR="00287ADB" w:rsidRPr="00287ADB" w:rsidRDefault="00287ADB" w:rsidP="00287ADB">
      <w:pPr>
        <w:rPr>
          <w:b/>
          <w:bCs/>
        </w:rPr>
      </w:pPr>
      <w:r w:rsidRPr="00287ADB">
        <w:rPr>
          <w:b/>
          <w:bCs/>
        </w:rPr>
        <w:t>1. Purpose:</w:t>
      </w:r>
    </w:p>
    <w:p w14:paraId="5F469764" w14:textId="3EB122CF" w:rsidR="00287ADB" w:rsidRPr="00287ADB" w:rsidRDefault="00287ADB" w:rsidP="00287ADB">
      <w:r w:rsidRPr="00287ADB">
        <w:t xml:space="preserve">The purpose of this </w:t>
      </w:r>
      <w:proofErr w:type="gramStart"/>
      <w:r w:rsidRPr="00287ADB">
        <w:t>Conflict of Interest</w:t>
      </w:r>
      <w:proofErr w:type="gramEnd"/>
      <w:r w:rsidRPr="00287ADB">
        <w:t xml:space="preserve"> Policy is to ensure that the trustees of our Scout Group act</w:t>
      </w:r>
      <w:r>
        <w:t xml:space="preserve"> </w:t>
      </w:r>
      <w:r w:rsidRPr="00287ADB">
        <w:t>in the best interests of the organization, avoid conflicts of interest, and maintain the trust and</w:t>
      </w:r>
      <w:r>
        <w:t xml:space="preserve"> </w:t>
      </w:r>
      <w:r w:rsidRPr="00287ADB">
        <w:t>confidence of our members, supporters, and the public.</w:t>
      </w:r>
    </w:p>
    <w:p w14:paraId="322AB5F7" w14:textId="77777777" w:rsidR="00287ADB" w:rsidRPr="00287ADB" w:rsidRDefault="00287ADB" w:rsidP="00287ADB">
      <w:pPr>
        <w:rPr>
          <w:b/>
          <w:bCs/>
        </w:rPr>
      </w:pPr>
      <w:r w:rsidRPr="00287ADB">
        <w:rPr>
          <w:b/>
          <w:bCs/>
        </w:rPr>
        <w:t>2. Scope:</w:t>
      </w:r>
    </w:p>
    <w:p w14:paraId="2B938805" w14:textId="77777777" w:rsidR="00287ADB" w:rsidRPr="00287ADB" w:rsidRDefault="00287ADB" w:rsidP="00287ADB">
      <w:r w:rsidRPr="00287ADB">
        <w:t>This policy applies to all trustees of the Scout Group.</w:t>
      </w:r>
    </w:p>
    <w:p w14:paraId="55D5DFA3" w14:textId="77777777" w:rsidR="00287ADB" w:rsidRPr="00287ADB" w:rsidRDefault="00287ADB" w:rsidP="00287ADB">
      <w:pPr>
        <w:rPr>
          <w:b/>
          <w:bCs/>
        </w:rPr>
      </w:pPr>
      <w:r w:rsidRPr="00287ADB">
        <w:rPr>
          <w:b/>
          <w:bCs/>
        </w:rPr>
        <w:t>3. Definition of Conflict of Interest:</w:t>
      </w:r>
    </w:p>
    <w:p w14:paraId="56784F54" w14:textId="3A1A4FB2" w:rsidR="00287ADB" w:rsidRPr="00287ADB" w:rsidRDefault="00287ADB" w:rsidP="00287ADB">
      <w:r w:rsidRPr="00287ADB">
        <w:t>A conflict of interest arises when a trustee’s personal interests or relationships interfere with their</w:t>
      </w:r>
      <w:r>
        <w:t xml:space="preserve"> </w:t>
      </w:r>
      <w:r w:rsidRPr="00287ADB">
        <w:t>ability to act in the best interests of the Scout Group. This includes situations where a trustee or a</w:t>
      </w:r>
      <w:r>
        <w:t xml:space="preserve"> </w:t>
      </w:r>
      <w:r w:rsidRPr="00287ADB">
        <w:t>close associate of a trustee could potentially benefit financially, socially, or in any other way from</w:t>
      </w:r>
      <w:r>
        <w:t xml:space="preserve"> </w:t>
      </w:r>
      <w:r w:rsidRPr="00287ADB">
        <w:t>decisions made by the Scout Group.</w:t>
      </w:r>
    </w:p>
    <w:p w14:paraId="60883603" w14:textId="77777777" w:rsidR="00287ADB" w:rsidRPr="00287ADB" w:rsidRDefault="00287ADB" w:rsidP="00287ADB">
      <w:pPr>
        <w:rPr>
          <w:b/>
          <w:bCs/>
        </w:rPr>
      </w:pPr>
      <w:r w:rsidRPr="00287ADB">
        <w:rPr>
          <w:b/>
          <w:bCs/>
        </w:rPr>
        <w:t>4. Disclosure:</w:t>
      </w:r>
    </w:p>
    <w:p w14:paraId="490443DF" w14:textId="5A966D9F" w:rsidR="00287ADB" w:rsidRPr="00287ADB" w:rsidRDefault="00287ADB" w:rsidP="00287ADB">
      <w:r w:rsidRPr="00287ADB">
        <w:t>All trustees have a duty to disclose any actual or potential conflicts of interest. This includes any</w:t>
      </w:r>
      <w:r>
        <w:t xml:space="preserve"> </w:t>
      </w:r>
      <w:r w:rsidRPr="00287ADB">
        <w:t>financial interests, relationships, or other circumstances that could reasonably be expected to give</w:t>
      </w:r>
      <w:r>
        <w:t xml:space="preserve"> </w:t>
      </w:r>
      <w:r w:rsidRPr="00287ADB">
        <w:t>rise to a conflict of interest. Trustees should make these disclosures promptly upon becoming aware</w:t>
      </w:r>
      <w:r>
        <w:t xml:space="preserve"> </w:t>
      </w:r>
      <w:r w:rsidRPr="00287ADB">
        <w:t>of the conflict or potential conflict.</w:t>
      </w:r>
    </w:p>
    <w:p w14:paraId="43AC97F4" w14:textId="77777777" w:rsidR="00287ADB" w:rsidRPr="00287ADB" w:rsidRDefault="00287ADB" w:rsidP="00287ADB">
      <w:pPr>
        <w:rPr>
          <w:b/>
          <w:bCs/>
        </w:rPr>
      </w:pPr>
      <w:r w:rsidRPr="00287ADB">
        <w:rPr>
          <w:b/>
          <w:bCs/>
        </w:rPr>
        <w:t>5. Evaluation and Recusal:</w:t>
      </w:r>
    </w:p>
    <w:p w14:paraId="5288827C" w14:textId="1D116C31" w:rsidR="00287ADB" w:rsidRPr="00287ADB" w:rsidRDefault="00287ADB" w:rsidP="00287ADB">
      <w:r w:rsidRPr="00287ADB">
        <w:t>Upon disclosure of a conflict of interest, the Board of Trustees shall evaluate the situation to</w:t>
      </w:r>
      <w:r>
        <w:t xml:space="preserve"> </w:t>
      </w:r>
      <w:r w:rsidRPr="00287ADB">
        <w:t>determine whether a conflict exists and, if so, the appropriate course of action. Trustees with a</w:t>
      </w:r>
      <w:r>
        <w:t xml:space="preserve"> </w:t>
      </w:r>
      <w:r w:rsidRPr="00287ADB">
        <w:t>conflict of interest shall recuse themselves from any discussion or decision-making process related</w:t>
      </w:r>
      <w:r>
        <w:t xml:space="preserve"> </w:t>
      </w:r>
      <w:r w:rsidRPr="00287ADB">
        <w:t>to the matter in which they have a conflict.</w:t>
      </w:r>
    </w:p>
    <w:p w14:paraId="5A02BEB0" w14:textId="77777777" w:rsidR="00287ADB" w:rsidRPr="00287ADB" w:rsidRDefault="00287ADB" w:rsidP="00287ADB">
      <w:pPr>
        <w:rPr>
          <w:b/>
          <w:bCs/>
        </w:rPr>
      </w:pPr>
      <w:r w:rsidRPr="00287ADB">
        <w:rPr>
          <w:b/>
          <w:bCs/>
        </w:rPr>
        <w:t>6. Documentation:</w:t>
      </w:r>
    </w:p>
    <w:p w14:paraId="43040B0A" w14:textId="5659B7B2" w:rsidR="00287ADB" w:rsidRPr="00287ADB" w:rsidRDefault="00287ADB" w:rsidP="00287ADB">
      <w:r w:rsidRPr="00287ADB">
        <w:t>All disclosures of conflicts of interest, as well as any actions taken by the Board of Trustees in</w:t>
      </w:r>
      <w:r>
        <w:t xml:space="preserve"> </w:t>
      </w:r>
      <w:r w:rsidRPr="00287ADB">
        <w:t xml:space="preserve">response to such conflicts, shall be documented in writing and maintained as part of the </w:t>
      </w:r>
      <w:r>
        <w:t>G</w:t>
      </w:r>
      <w:r w:rsidRPr="00287ADB">
        <w:t>roup’s</w:t>
      </w:r>
      <w:r>
        <w:t xml:space="preserve"> </w:t>
      </w:r>
      <w:r w:rsidRPr="00287ADB">
        <w:t>official records.</w:t>
      </w:r>
    </w:p>
    <w:p w14:paraId="0D285567" w14:textId="77777777" w:rsidR="00287ADB" w:rsidRPr="00287ADB" w:rsidRDefault="00287ADB" w:rsidP="00287ADB">
      <w:pPr>
        <w:rPr>
          <w:b/>
          <w:bCs/>
        </w:rPr>
      </w:pPr>
      <w:r w:rsidRPr="00287ADB">
        <w:rPr>
          <w:b/>
          <w:bCs/>
        </w:rPr>
        <w:lastRenderedPageBreak/>
        <w:t>7. Confidentiality:</w:t>
      </w:r>
    </w:p>
    <w:p w14:paraId="29D3635D" w14:textId="5C6917F5" w:rsidR="00287ADB" w:rsidRPr="00287ADB" w:rsidRDefault="00287ADB" w:rsidP="00287ADB">
      <w:r w:rsidRPr="00287ADB">
        <w:t>Information regarding conflicts of interest disclosed by trustees shall be treated as confidential to</w:t>
      </w:r>
      <w:r>
        <w:t xml:space="preserve"> </w:t>
      </w:r>
      <w:r w:rsidRPr="00287ADB">
        <w:t xml:space="preserve">the extent possible, while still allowing for proper evaluation and management of the </w:t>
      </w:r>
      <w:r>
        <w:t>c</w:t>
      </w:r>
      <w:r w:rsidRPr="00287ADB">
        <w:t>onflict.</w:t>
      </w:r>
    </w:p>
    <w:p w14:paraId="2D97A5A7" w14:textId="77777777" w:rsidR="00287ADB" w:rsidRPr="00287ADB" w:rsidRDefault="00287ADB" w:rsidP="00287ADB">
      <w:pPr>
        <w:rPr>
          <w:b/>
          <w:bCs/>
        </w:rPr>
      </w:pPr>
      <w:r w:rsidRPr="00287ADB">
        <w:rPr>
          <w:b/>
          <w:bCs/>
        </w:rPr>
        <w:t>8. Annual Review:</w:t>
      </w:r>
    </w:p>
    <w:p w14:paraId="2DBABA5B" w14:textId="77777777" w:rsidR="00287ADB" w:rsidRPr="00287ADB" w:rsidRDefault="00287ADB" w:rsidP="00287ADB">
      <w:r w:rsidRPr="00287ADB">
        <w:t xml:space="preserve">This </w:t>
      </w:r>
      <w:proofErr w:type="gramStart"/>
      <w:r w:rsidRPr="00287ADB">
        <w:t>Conflict of Interest</w:t>
      </w:r>
      <w:proofErr w:type="gramEnd"/>
      <w:r w:rsidRPr="00287ADB">
        <w:t xml:space="preserve"> Policy shall be reviewed annually by the Board of Trustees to ensure its</w:t>
      </w:r>
    </w:p>
    <w:p w14:paraId="693035BA" w14:textId="41D44772" w:rsidR="00287ADB" w:rsidRPr="00287ADB" w:rsidRDefault="00287ADB" w:rsidP="00287ADB">
      <w:r w:rsidRPr="00287ADB">
        <w:t>con</w:t>
      </w:r>
      <w:r>
        <w:t>t</w:t>
      </w:r>
      <w:r w:rsidRPr="00287ADB">
        <w:t>inued effectiveness and relevance. Any necessary updates or revisions shall be made at that</w:t>
      </w:r>
      <w:r>
        <w:t xml:space="preserve"> </w:t>
      </w:r>
      <w:r w:rsidRPr="00287ADB">
        <w:t>time.</w:t>
      </w:r>
    </w:p>
    <w:p w14:paraId="798A147B" w14:textId="77777777" w:rsidR="00287ADB" w:rsidRPr="00287ADB" w:rsidRDefault="00287ADB" w:rsidP="00287ADB">
      <w:pPr>
        <w:rPr>
          <w:b/>
          <w:bCs/>
        </w:rPr>
      </w:pPr>
      <w:r w:rsidRPr="00287ADB">
        <w:rPr>
          <w:b/>
          <w:bCs/>
        </w:rPr>
        <w:t>9. Compliance:</w:t>
      </w:r>
    </w:p>
    <w:p w14:paraId="4DCEEDF4" w14:textId="383891D2" w:rsidR="00287ADB" w:rsidRPr="00287ADB" w:rsidRDefault="00287ADB" w:rsidP="00287ADB">
      <w:r w:rsidRPr="00287ADB">
        <w:t xml:space="preserve">All trustees are expected to comply fully with this </w:t>
      </w:r>
      <w:proofErr w:type="gramStart"/>
      <w:r w:rsidRPr="00287ADB">
        <w:t>Conflict of Interest</w:t>
      </w:r>
      <w:proofErr w:type="gramEnd"/>
      <w:r w:rsidRPr="00287ADB">
        <w:t xml:space="preserve"> Policy. Failure to disclose a</w:t>
      </w:r>
      <w:r>
        <w:t xml:space="preserve"> </w:t>
      </w:r>
      <w:r w:rsidRPr="00287ADB">
        <w:t>conflict of interest or to comply with the terms of this policy may result in disciplinary action, up to</w:t>
      </w:r>
      <w:r>
        <w:t xml:space="preserve"> </w:t>
      </w:r>
      <w:r w:rsidRPr="00287ADB">
        <w:t>and including removal from the Board of Trustees.</w:t>
      </w:r>
    </w:p>
    <w:p w14:paraId="168B959D" w14:textId="77777777" w:rsidR="00287ADB" w:rsidRPr="00287ADB" w:rsidRDefault="00287ADB" w:rsidP="00287ADB">
      <w:pPr>
        <w:rPr>
          <w:b/>
          <w:bCs/>
        </w:rPr>
      </w:pPr>
      <w:r w:rsidRPr="00287ADB">
        <w:rPr>
          <w:b/>
          <w:bCs/>
        </w:rPr>
        <w:t>10. Acknowledgement:</w:t>
      </w:r>
    </w:p>
    <w:p w14:paraId="0623B613" w14:textId="6070FD95" w:rsidR="00287ADB" w:rsidRPr="00287ADB" w:rsidRDefault="00287ADB" w:rsidP="00287ADB">
      <w:r w:rsidRPr="00287ADB">
        <w:t>All trustees shall be required to acknowledge receipt of, understanding of, and agreement to abide</w:t>
      </w:r>
      <w:r>
        <w:t xml:space="preserve"> </w:t>
      </w:r>
      <w:r w:rsidRPr="00287ADB">
        <w:t xml:space="preserve">by this </w:t>
      </w:r>
      <w:proofErr w:type="gramStart"/>
      <w:r w:rsidRPr="00287ADB">
        <w:t>Conflict of Interest</w:t>
      </w:r>
      <w:proofErr w:type="gramEnd"/>
      <w:r w:rsidRPr="00287ADB">
        <w:t xml:space="preserve"> Policy upon assuming their position as a trustee of the Scout Group, and</w:t>
      </w:r>
      <w:r>
        <w:t xml:space="preserve"> </w:t>
      </w:r>
      <w:r w:rsidRPr="00287ADB">
        <w:t>annually thereafter.</w:t>
      </w:r>
    </w:p>
    <w:p w14:paraId="230CBA6A" w14:textId="77777777" w:rsidR="00287ADB" w:rsidRPr="00287ADB" w:rsidRDefault="00287ADB" w:rsidP="00287ADB">
      <w:pPr>
        <w:rPr>
          <w:b/>
          <w:bCs/>
        </w:rPr>
      </w:pPr>
      <w:r w:rsidRPr="00287ADB">
        <w:rPr>
          <w:b/>
          <w:bCs/>
        </w:rPr>
        <w:t>11. Public Disclosure:</w:t>
      </w:r>
    </w:p>
    <w:p w14:paraId="264662E3" w14:textId="6E2C28E0" w:rsidR="00287ADB" w:rsidRPr="00287ADB" w:rsidRDefault="00287ADB" w:rsidP="00287ADB">
      <w:r w:rsidRPr="00287ADB">
        <w:t xml:space="preserve">To maintain transparency and public trust, the Scout Group shall disclose its </w:t>
      </w:r>
      <w:proofErr w:type="gramStart"/>
      <w:r w:rsidRPr="00287ADB">
        <w:t>Conflict of Interest</w:t>
      </w:r>
      <w:proofErr w:type="gramEnd"/>
      <w:r>
        <w:t xml:space="preserve"> </w:t>
      </w:r>
      <w:r w:rsidRPr="00287ADB">
        <w:t>Policy, including any amendments or updates, to members, supporters, and the public upon request</w:t>
      </w:r>
      <w:r>
        <w:t xml:space="preserve"> </w:t>
      </w:r>
      <w:r w:rsidRPr="00287ADB">
        <w:t>and shall make the policy readily accessible on the organization’s website or other official channels.</w:t>
      </w:r>
    </w:p>
    <w:p w14:paraId="754C77DA" w14:textId="77777777" w:rsidR="00287ADB" w:rsidRPr="00287ADB" w:rsidRDefault="00287ADB" w:rsidP="00287ADB">
      <w:pPr>
        <w:rPr>
          <w:b/>
          <w:bCs/>
        </w:rPr>
      </w:pPr>
      <w:r w:rsidRPr="00287ADB">
        <w:rPr>
          <w:b/>
          <w:bCs/>
        </w:rPr>
        <w:t>12. Conclusion:</w:t>
      </w:r>
    </w:p>
    <w:p w14:paraId="5E9C44C2" w14:textId="0C9ED8BA" w:rsidR="00611115" w:rsidRDefault="00287ADB" w:rsidP="00287ADB">
      <w:r w:rsidRPr="00287ADB">
        <w:t xml:space="preserve">This </w:t>
      </w:r>
      <w:proofErr w:type="gramStart"/>
      <w:r w:rsidRPr="00287ADB">
        <w:t>Conflict of Interest</w:t>
      </w:r>
      <w:proofErr w:type="gramEnd"/>
      <w:r w:rsidRPr="00287ADB">
        <w:t xml:space="preserve"> Policy is intended to protect the integrity and reputation of our Scout</w:t>
      </w:r>
      <w:r>
        <w:t xml:space="preserve"> </w:t>
      </w:r>
      <w:r w:rsidRPr="00287ADB">
        <w:t>Group by ensuring that decisions are made with the organization’s best interests in mind and</w:t>
      </w:r>
      <w:r>
        <w:t xml:space="preserve"> </w:t>
      </w:r>
      <w:r w:rsidRPr="00287ADB">
        <w:t>without bias or undue influence. Trustees are expected to uphold the highest standards of ethical</w:t>
      </w:r>
      <w:r>
        <w:t xml:space="preserve"> </w:t>
      </w:r>
      <w:r w:rsidRPr="00287ADB">
        <w:t>conduct and to act with honesty, integrity, and transparency in all matters related to their role within</w:t>
      </w:r>
      <w:r>
        <w:t xml:space="preserve"> </w:t>
      </w:r>
      <w:r w:rsidRPr="00287ADB">
        <w:t>the organization.</w:t>
      </w:r>
    </w:p>
    <w:p w14:paraId="7D32EEE4" w14:textId="77777777" w:rsidR="002E7DD9" w:rsidRDefault="002E7DD9" w:rsidP="00287ADB"/>
    <w:p w14:paraId="5E99693F" w14:textId="77777777" w:rsidR="002E7DD9" w:rsidRPr="00287ADB" w:rsidRDefault="002E7DD9" w:rsidP="002E7DD9">
      <w:r w:rsidRPr="00C20117">
        <w:t xml:space="preserve">Approved </w:t>
      </w:r>
      <w:r>
        <w:t>23/09/2024</w:t>
      </w:r>
      <w:r w:rsidRPr="00C20117"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C20117">
        <w:t xml:space="preserve">Review due </w:t>
      </w:r>
      <w:r>
        <w:t>23/09/2025</w:t>
      </w:r>
    </w:p>
    <w:p w14:paraId="74F7B9A2" w14:textId="77777777" w:rsidR="002E7DD9" w:rsidRDefault="002E7DD9" w:rsidP="00287ADB"/>
    <w:sectPr w:rsidR="002E7DD9" w:rsidSect="00287AD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 Sans Black">
    <w:charset w:val="00"/>
    <w:family w:val="auto"/>
    <w:pitch w:val="variable"/>
    <w:sig w:usb0="A00002FF" w:usb1="5000204B" w:usb2="00000000" w:usb3="00000000" w:csb0="00000197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NunitoSans-Black">
    <w:altName w:val="Calibri"/>
    <w:charset w:val="00"/>
    <w:family w:val="auto"/>
    <w:pitch w:val="variable"/>
    <w:sig w:usb0="20000007" w:usb1="00000001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ADB"/>
    <w:rsid w:val="00287ADB"/>
    <w:rsid w:val="002E7DD9"/>
    <w:rsid w:val="00385E6C"/>
    <w:rsid w:val="00611115"/>
    <w:rsid w:val="00803FC6"/>
    <w:rsid w:val="00A12979"/>
    <w:rsid w:val="00BF3897"/>
    <w:rsid w:val="00CD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22A4F"/>
  <w15:chartTrackingRefBased/>
  <w15:docId w15:val="{FB87646B-189F-43C5-B532-FF00888D7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287A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7A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7A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7A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7A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7A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7A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7A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7A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87A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7A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7A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7A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7A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7A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7A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7A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7A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7A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7A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7A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7A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7A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7A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7A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7A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7A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7A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7ADB"/>
    <w:rPr>
      <w:b/>
      <w:bCs/>
      <w:smallCaps/>
      <w:color w:val="0F4761" w:themeColor="accent1" w:themeShade="BF"/>
      <w:spacing w:val="5"/>
    </w:rPr>
  </w:style>
  <w:style w:type="paragraph" w:customStyle="1" w:styleId="Subheading">
    <w:name w:val="Subheading"/>
    <w:basedOn w:val="Normal"/>
    <w:uiPriority w:val="1"/>
    <w:qFormat/>
    <w:rsid w:val="00385E6C"/>
    <w:pPr>
      <w:widowControl w:val="0"/>
      <w:autoSpaceDE w:val="0"/>
      <w:autoSpaceDN w:val="0"/>
      <w:spacing w:before="113" w:after="0" w:line="240" w:lineRule="auto"/>
    </w:pPr>
    <w:rPr>
      <w:rFonts w:ascii="Nunito Sans Black" w:eastAsia="Nunito Sans" w:hAnsi="Nunito Sans Black" w:cs="Nunito Sans"/>
      <w:color w:val="2E2E2F"/>
      <w:kern w:val="0"/>
      <w:sz w:val="60"/>
      <w:szCs w:val="22"/>
      <w:lang w:eastAsia="en-GB" w:bidi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524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Pomeroy</dc:creator>
  <cp:keywords/>
  <dc:description/>
  <cp:lastModifiedBy>Catherine Pomeroy</cp:lastModifiedBy>
  <cp:revision>2</cp:revision>
  <cp:lastPrinted>2024-09-23T14:08:00Z</cp:lastPrinted>
  <dcterms:created xsi:type="dcterms:W3CDTF">2024-09-23T14:08:00Z</dcterms:created>
  <dcterms:modified xsi:type="dcterms:W3CDTF">2024-09-23T14:08:00Z</dcterms:modified>
</cp:coreProperties>
</file>