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E556E" w14:textId="281BD225" w:rsidR="00385E6C" w:rsidRDefault="00385E6C" w:rsidP="00385E6C">
      <w:pPr>
        <w:pStyle w:val="Heading1"/>
        <w:keepNext w:val="0"/>
        <w:keepLines w:val="0"/>
        <w:widowControl w:val="0"/>
        <w:autoSpaceDE w:val="0"/>
        <w:autoSpaceDN w:val="0"/>
        <w:spacing w:before="452" w:after="0" w:line="170" w:lineRule="auto"/>
        <w:rPr>
          <w:rFonts w:ascii="Nunito Sans Black" w:eastAsia="NunitoSans-Black" w:hAnsi="Nunito Sans Black" w:cs="NunitoSans-Black"/>
          <w:bCs/>
          <w:color w:val="7030A0"/>
          <w:spacing w:val="-27"/>
          <w:kern w:val="0"/>
          <w:sz w:val="56"/>
          <w:szCs w:val="114"/>
          <w:lang w:eastAsia="en-GB" w:bidi="en-GB"/>
          <w14:ligatures w14:val="none"/>
        </w:rPr>
      </w:pPr>
      <w:r>
        <w:rPr>
          <w:noProof/>
        </w:rPr>
        <w:drawing>
          <wp:anchor distT="0" distB="0" distL="0" distR="0" simplePos="0" relativeHeight="251659264" behindDoc="1" locked="0" layoutInCell="1" hidden="0" allowOverlap="1" wp14:anchorId="4387EC93" wp14:editId="01022B22">
            <wp:simplePos x="0" y="0"/>
            <wp:positionH relativeFrom="column">
              <wp:posOffset>2362200</wp:posOffset>
            </wp:positionH>
            <wp:positionV relativeFrom="paragraph">
              <wp:posOffset>-626745</wp:posOffset>
            </wp:positionV>
            <wp:extent cx="1488552" cy="1087120"/>
            <wp:effectExtent l="0" t="0" r="0" b="0"/>
            <wp:wrapNone/>
            <wp:docPr id="2" name="image1.png" descr="Purple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Purple logo with a black background&#10;&#10;Description automatically generated"/>
                    <pic:cNvPicPr preferRelativeResize="0"/>
                  </pic:nvPicPr>
                  <pic:blipFill>
                    <a:blip r:embed="rId4"/>
                    <a:srcRect/>
                    <a:stretch>
                      <a:fillRect/>
                    </a:stretch>
                  </pic:blipFill>
                  <pic:spPr>
                    <a:xfrm>
                      <a:off x="0" y="0"/>
                      <a:ext cx="1488552" cy="1087120"/>
                    </a:xfrm>
                    <a:prstGeom prst="rect">
                      <a:avLst/>
                    </a:prstGeom>
                    <a:ln/>
                  </pic:spPr>
                </pic:pic>
              </a:graphicData>
            </a:graphic>
          </wp:anchor>
        </w:drawing>
      </w:r>
    </w:p>
    <w:p w14:paraId="497107DD" w14:textId="08F9452E" w:rsidR="00287ADB" w:rsidRPr="00385E6C" w:rsidRDefault="00CD7E9A" w:rsidP="00385E6C">
      <w:pPr>
        <w:pStyle w:val="Heading1"/>
        <w:keepNext w:val="0"/>
        <w:keepLines w:val="0"/>
        <w:widowControl w:val="0"/>
        <w:autoSpaceDE w:val="0"/>
        <w:autoSpaceDN w:val="0"/>
        <w:spacing w:before="452" w:after="0" w:line="170" w:lineRule="auto"/>
        <w:rPr>
          <w:rFonts w:ascii="Nunito Sans Black" w:eastAsia="NunitoSans-Black" w:hAnsi="Nunito Sans Black" w:cs="NunitoSans-Black"/>
          <w:bCs/>
          <w:color w:val="7614DC"/>
          <w:spacing w:val="-27"/>
          <w:kern w:val="0"/>
          <w:sz w:val="56"/>
          <w:szCs w:val="114"/>
          <w:lang w:eastAsia="en-GB" w:bidi="en-GB"/>
          <w14:ligatures w14:val="none"/>
        </w:rPr>
      </w:pPr>
      <w:bookmarkStart w:id="0" w:name="_gjdgxs" w:colFirst="0" w:colLast="0"/>
      <w:bookmarkEnd w:id="0"/>
      <w:r>
        <w:rPr>
          <w:rFonts w:ascii="Nunito Sans Black" w:eastAsia="NunitoSans-Black" w:hAnsi="Nunito Sans Black" w:cs="NunitoSans-Black"/>
          <w:bCs/>
          <w:color w:val="7614DC"/>
          <w:spacing w:val="-27"/>
          <w:kern w:val="0"/>
          <w:sz w:val="56"/>
          <w:szCs w:val="114"/>
          <w:lang w:eastAsia="en-GB" w:bidi="en-GB"/>
          <w14:ligatures w14:val="none"/>
        </w:rPr>
        <w:t>Investing Charity Funds Policy and Procedure</w:t>
      </w:r>
    </w:p>
    <w:p w14:paraId="20626C77" w14:textId="77777777" w:rsidR="00385E6C" w:rsidRPr="00580464" w:rsidRDefault="00385E6C" w:rsidP="00385E6C">
      <w:pPr>
        <w:pStyle w:val="Subheading"/>
        <w:rPr>
          <w:sz w:val="36"/>
          <w:szCs w:val="10"/>
        </w:rPr>
      </w:pPr>
      <w:r w:rsidRPr="00580464">
        <w:rPr>
          <w:sz w:val="36"/>
          <w:szCs w:val="10"/>
        </w:rPr>
        <w:t>1</w:t>
      </w:r>
      <w:r w:rsidRPr="00580464">
        <w:rPr>
          <w:sz w:val="36"/>
          <w:szCs w:val="10"/>
          <w:vertAlign w:val="superscript"/>
        </w:rPr>
        <w:t>st</w:t>
      </w:r>
      <w:r w:rsidRPr="00580464">
        <w:rPr>
          <w:sz w:val="36"/>
          <w:szCs w:val="10"/>
        </w:rPr>
        <w:t xml:space="preserve"> Chapel-en-le-Frith Scout Group</w:t>
      </w:r>
    </w:p>
    <w:p w14:paraId="58B7E3FE" w14:textId="77777777" w:rsidR="00385E6C" w:rsidRPr="00287ADB" w:rsidRDefault="00385E6C" w:rsidP="00385E6C">
      <w:pPr>
        <w:rPr>
          <w:lang w:eastAsia="en-GB" w:bidi="en-GB"/>
        </w:rPr>
      </w:pPr>
    </w:p>
    <w:p w14:paraId="104787A0" w14:textId="77777777" w:rsidR="00287ADB" w:rsidRPr="00287ADB" w:rsidRDefault="00287ADB" w:rsidP="00287ADB">
      <w:pPr>
        <w:rPr>
          <w:b/>
          <w:bCs/>
        </w:rPr>
      </w:pPr>
      <w:r w:rsidRPr="00287ADB">
        <w:rPr>
          <w:b/>
          <w:bCs/>
        </w:rPr>
        <w:t>1. Purpose:</w:t>
      </w:r>
    </w:p>
    <w:p w14:paraId="5F469764" w14:textId="7184B9B5" w:rsidR="00287ADB" w:rsidRPr="00287ADB" w:rsidRDefault="00287ADB" w:rsidP="00287ADB">
      <w:r w:rsidRPr="00287ADB">
        <w:t xml:space="preserve">The purpose of this </w:t>
      </w:r>
      <w:r w:rsidR="00CD7E9A">
        <w:t>Investing charity funds</w:t>
      </w:r>
      <w:r w:rsidRPr="00287ADB">
        <w:t xml:space="preserve"> </w:t>
      </w:r>
      <w:r w:rsidR="00CD7E9A">
        <w:t>p</w:t>
      </w:r>
      <w:r w:rsidRPr="00287ADB">
        <w:t>olicy is to ensure that the trustees of our Scout Group act</w:t>
      </w:r>
      <w:r>
        <w:t xml:space="preserve"> </w:t>
      </w:r>
      <w:r w:rsidRPr="00287ADB">
        <w:t xml:space="preserve">in the best interests of the organization, </w:t>
      </w:r>
      <w:r w:rsidR="00CD7E9A">
        <w:t>safeguard and maximise the funds of the charity</w:t>
      </w:r>
      <w:r w:rsidRPr="00287ADB">
        <w:t>, and maintain the trust and</w:t>
      </w:r>
      <w:r>
        <w:t xml:space="preserve"> </w:t>
      </w:r>
      <w:r w:rsidRPr="00287ADB">
        <w:t>confidence of our members, supporters, and the public.</w:t>
      </w:r>
    </w:p>
    <w:p w14:paraId="322AB5F7" w14:textId="77777777" w:rsidR="00287ADB" w:rsidRPr="00287ADB" w:rsidRDefault="00287ADB" w:rsidP="00287ADB">
      <w:pPr>
        <w:rPr>
          <w:b/>
          <w:bCs/>
        </w:rPr>
      </w:pPr>
      <w:r w:rsidRPr="00287ADB">
        <w:rPr>
          <w:b/>
          <w:bCs/>
        </w:rPr>
        <w:t>2. Scope:</w:t>
      </w:r>
    </w:p>
    <w:p w14:paraId="2B938805" w14:textId="44CBFF2A" w:rsidR="00287ADB" w:rsidRPr="00287ADB" w:rsidRDefault="00287ADB" w:rsidP="00287ADB">
      <w:r w:rsidRPr="00287ADB">
        <w:t xml:space="preserve">This policy applies to all </w:t>
      </w:r>
      <w:r w:rsidR="00CD7E9A">
        <w:t>monies held by</w:t>
      </w:r>
      <w:r w:rsidRPr="00287ADB">
        <w:t xml:space="preserve"> the Scout Group</w:t>
      </w:r>
      <w:r w:rsidR="00CD7E9A">
        <w:t>, including section accounts</w:t>
      </w:r>
      <w:r w:rsidRPr="00287ADB">
        <w:t>.</w:t>
      </w:r>
    </w:p>
    <w:p w14:paraId="60883603" w14:textId="612B51F4" w:rsidR="00287ADB" w:rsidRPr="00287ADB" w:rsidRDefault="00C20117" w:rsidP="00287ADB">
      <w:pPr>
        <w:rPr>
          <w:b/>
          <w:bCs/>
        </w:rPr>
      </w:pPr>
      <w:r>
        <w:rPr>
          <w:b/>
          <w:bCs/>
        </w:rPr>
        <w:t>3</w:t>
      </w:r>
      <w:r w:rsidR="00287ADB" w:rsidRPr="00287ADB">
        <w:rPr>
          <w:b/>
          <w:bCs/>
        </w:rPr>
        <w:t xml:space="preserve">. </w:t>
      </w:r>
      <w:r w:rsidR="00A17B2A">
        <w:rPr>
          <w:b/>
          <w:bCs/>
        </w:rPr>
        <w:t>General policy</w:t>
      </w:r>
      <w:r w:rsidR="00287ADB" w:rsidRPr="00287ADB">
        <w:rPr>
          <w:b/>
          <w:bCs/>
        </w:rPr>
        <w:t>:</w:t>
      </w:r>
    </w:p>
    <w:p w14:paraId="5623727E" w14:textId="735E92D8" w:rsidR="00A17B2A" w:rsidRDefault="00A17B2A" w:rsidP="00287ADB">
      <w:r w:rsidRPr="00A17B2A">
        <w:t xml:space="preserve">The </w:t>
      </w:r>
      <w:r>
        <w:t>Group</w:t>
      </w:r>
      <w:r w:rsidRPr="00A17B2A">
        <w:t xml:space="preserve"> Trustee Board </w:t>
      </w:r>
      <w:r>
        <w:t>is</w:t>
      </w:r>
      <w:r w:rsidRPr="00A17B2A">
        <w:t xml:space="preserve"> responsible for ensuring that all the funds held by the </w:t>
      </w:r>
      <w:r>
        <w:t>Group</w:t>
      </w:r>
      <w:r w:rsidRPr="00A17B2A">
        <w:t xml:space="preserve"> are used solely for the benefit of and to support and promote the development of Scouting. The</w:t>
      </w:r>
      <w:r>
        <w:t xml:space="preserve"> Trustees</w:t>
      </w:r>
      <w:r w:rsidRPr="00A17B2A">
        <w:t xml:space="preserve"> are also responsible for ensuring that the rules of The Scout Association (as laid down in POR)</w:t>
      </w:r>
      <w:r>
        <w:t xml:space="preserve"> and</w:t>
      </w:r>
      <w:r w:rsidRPr="00A17B2A">
        <w:t xml:space="preserve"> the requirements of the Charities are adhered to. </w:t>
      </w:r>
    </w:p>
    <w:p w14:paraId="43AC97F4" w14:textId="0B10A825" w:rsidR="00287ADB" w:rsidRPr="00287ADB" w:rsidRDefault="00C20117" w:rsidP="00287ADB">
      <w:pPr>
        <w:rPr>
          <w:b/>
          <w:bCs/>
        </w:rPr>
      </w:pPr>
      <w:r>
        <w:rPr>
          <w:b/>
          <w:bCs/>
        </w:rPr>
        <w:t>4</w:t>
      </w:r>
      <w:r w:rsidR="00287ADB" w:rsidRPr="00287ADB">
        <w:rPr>
          <w:b/>
          <w:bCs/>
        </w:rPr>
        <w:t xml:space="preserve">. </w:t>
      </w:r>
      <w:r w:rsidR="00A17B2A">
        <w:rPr>
          <w:b/>
          <w:bCs/>
        </w:rPr>
        <w:t>Types of fund</w:t>
      </w:r>
      <w:r w:rsidR="00287ADB" w:rsidRPr="00287ADB">
        <w:rPr>
          <w:b/>
          <w:bCs/>
        </w:rPr>
        <w:t>:</w:t>
      </w:r>
    </w:p>
    <w:p w14:paraId="3017548F" w14:textId="0A13C74C" w:rsidR="00A17B2A" w:rsidRDefault="00A17B2A" w:rsidP="00287ADB">
      <w:r w:rsidRPr="00A17B2A">
        <w:t xml:space="preserve">Charities can have four different types of funds: </w:t>
      </w:r>
    </w:p>
    <w:p w14:paraId="0668B0D9" w14:textId="77777777" w:rsidR="00A17B2A" w:rsidRPr="00A17B2A" w:rsidRDefault="00A17B2A" w:rsidP="00287ADB">
      <w:pPr>
        <w:rPr>
          <w:b/>
          <w:bCs/>
        </w:rPr>
      </w:pPr>
      <w:r w:rsidRPr="00A17B2A">
        <w:rPr>
          <w:b/>
          <w:bCs/>
        </w:rPr>
        <w:t xml:space="preserve">Endowment Funds </w:t>
      </w:r>
    </w:p>
    <w:p w14:paraId="51BBFE99" w14:textId="75952D1B" w:rsidR="00A17B2A" w:rsidRDefault="00A17B2A" w:rsidP="00287ADB">
      <w:r w:rsidRPr="00A17B2A">
        <w:t xml:space="preserve">These are funds which the trustees are legally required to invest or to keep and use for the charity’s purposes. The </w:t>
      </w:r>
      <w:r>
        <w:t>Group</w:t>
      </w:r>
      <w:r w:rsidRPr="00A17B2A">
        <w:t xml:space="preserve"> does not have any endowment funds. </w:t>
      </w:r>
    </w:p>
    <w:p w14:paraId="3EA746D7" w14:textId="77777777" w:rsidR="00A17B2A" w:rsidRPr="00A17B2A" w:rsidRDefault="00A17B2A" w:rsidP="00287ADB">
      <w:pPr>
        <w:rPr>
          <w:b/>
          <w:bCs/>
        </w:rPr>
      </w:pPr>
      <w:r w:rsidRPr="00A17B2A">
        <w:rPr>
          <w:b/>
          <w:bCs/>
        </w:rPr>
        <w:t xml:space="preserve">Restricted Funds </w:t>
      </w:r>
    </w:p>
    <w:p w14:paraId="3A3A98EB" w14:textId="77777777" w:rsidR="00A17B2A" w:rsidRDefault="00A17B2A" w:rsidP="00287ADB">
      <w:r w:rsidRPr="00A17B2A">
        <w:t>These are funds where the trustees are bound by conditions that have either been imposed by donors or by the terms of an appeal. Therefore, the funds can only be spent in line with the restriction. It is important that these funds are kept separate from other funds.</w:t>
      </w:r>
      <w:r>
        <w:t xml:space="preserve"> </w:t>
      </w:r>
    </w:p>
    <w:p w14:paraId="0208DF0A" w14:textId="4AE47A74" w:rsidR="00A17B2A" w:rsidRDefault="00A17B2A" w:rsidP="00287ADB">
      <w:r w:rsidRPr="00A17B2A">
        <w:t xml:space="preserve">Any grants received by the </w:t>
      </w:r>
      <w:r>
        <w:t>Group</w:t>
      </w:r>
      <w:r w:rsidRPr="00A17B2A">
        <w:t xml:space="preserve"> will be treated as restricted funds. In addition, any fundraising relating to </w:t>
      </w:r>
      <w:r>
        <w:t>specific purposes will be</w:t>
      </w:r>
      <w:r w:rsidRPr="00A17B2A">
        <w:t xml:space="preserve"> accounted for as restricted funds. </w:t>
      </w:r>
    </w:p>
    <w:p w14:paraId="7544E64E" w14:textId="255DA0A8" w:rsidR="00A17B2A" w:rsidRPr="00A17B2A" w:rsidRDefault="00A17B2A" w:rsidP="00287ADB">
      <w:pPr>
        <w:rPr>
          <w:b/>
          <w:bCs/>
        </w:rPr>
      </w:pPr>
      <w:r w:rsidRPr="00A17B2A">
        <w:rPr>
          <w:b/>
          <w:bCs/>
        </w:rPr>
        <w:t>Designated funds</w:t>
      </w:r>
    </w:p>
    <w:p w14:paraId="12097A7A" w14:textId="17B0D0BF" w:rsidR="00A17B2A" w:rsidRDefault="00A17B2A" w:rsidP="00287ADB">
      <w:r w:rsidRPr="00A17B2A">
        <w:lastRenderedPageBreak/>
        <w:t>These are funds that arise when the trustees decide to set some of the unrestricted funds aside for a special purpose. Trustees are free to transfer into and out of designated funds, however, the decision to make transfers should be made prior to the charity’s financial year end and should be documented.</w:t>
      </w:r>
    </w:p>
    <w:p w14:paraId="6F0CD2A5" w14:textId="2F433102" w:rsidR="00A17B2A" w:rsidRPr="00A31D00" w:rsidRDefault="00A31D00" w:rsidP="00287ADB">
      <w:pPr>
        <w:rPr>
          <w:b/>
          <w:bCs/>
        </w:rPr>
      </w:pPr>
      <w:r w:rsidRPr="00A31D00">
        <w:rPr>
          <w:b/>
          <w:bCs/>
        </w:rPr>
        <w:t>Unrestricted</w:t>
      </w:r>
      <w:r w:rsidRPr="00A31D00">
        <w:rPr>
          <w:b/>
          <w:bCs/>
        </w:rPr>
        <w:t xml:space="preserve"> funds</w:t>
      </w:r>
    </w:p>
    <w:p w14:paraId="4392A0D4" w14:textId="571FFF3C" w:rsidR="00A31D00" w:rsidRDefault="00A31D00" w:rsidP="00287ADB">
      <w:r w:rsidRPr="00A31D00">
        <w:t>These are funds that the charity trustees may spend in accordance with its constitution.</w:t>
      </w:r>
      <w:r>
        <w:t xml:space="preserve"> </w:t>
      </w:r>
      <w:r w:rsidRPr="00A31D00">
        <w:t xml:space="preserve">These are held by the </w:t>
      </w:r>
      <w:r>
        <w:t>Group</w:t>
      </w:r>
      <w:r w:rsidRPr="00A31D00">
        <w:t xml:space="preserve"> to support the day-to-day running of Scouting. </w:t>
      </w:r>
    </w:p>
    <w:p w14:paraId="5A02BEB0" w14:textId="7CB5994B" w:rsidR="00287ADB" w:rsidRPr="00287ADB" w:rsidRDefault="00C20117" w:rsidP="00287ADB">
      <w:pPr>
        <w:rPr>
          <w:b/>
          <w:bCs/>
        </w:rPr>
      </w:pPr>
      <w:r>
        <w:rPr>
          <w:b/>
          <w:bCs/>
        </w:rPr>
        <w:t>5</w:t>
      </w:r>
      <w:r w:rsidR="00287ADB" w:rsidRPr="00287ADB">
        <w:rPr>
          <w:b/>
          <w:bCs/>
        </w:rPr>
        <w:t xml:space="preserve">. </w:t>
      </w:r>
      <w:r w:rsidR="00A31D00">
        <w:rPr>
          <w:b/>
          <w:bCs/>
        </w:rPr>
        <w:t>Reserves policy</w:t>
      </w:r>
      <w:r w:rsidR="00287ADB" w:rsidRPr="00287ADB">
        <w:rPr>
          <w:b/>
          <w:bCs/>
        </w:rPr>
        <w:t>:</w:t>
      </w:r>
    </w:p>
    <w:p w14:paraId="43040B0A" w14:textId="4A8439BD" w:rsidR="00287ADB" w:rsidRPr="00287ADB" w:rsidRDefault="00A31D00" w:rsidP="00287ADB">
      <w:r>
        <w:t>A reserve equal to the running costs of the Group for one year (as set out in its latest annual budget) will be held as a minimum.</w:t>
      </w:r>
    </w:p>
    <w:p w14:paraId="0D285567" w14:textId="312244E7" w:rsidR="00287ADB" w:rsidRPr="00287ADB" w:rsidRDefault="00C20117" w:rsidP="00287ADB">
      <w:pPr>
        <w:rPr>
          <w:b/>
          <w:bCs/>
        </w:rPr>
      </w:pPr>
      <w:r>
        <w:rPr>
          <w:b/>
          <w:bCs/>
        </w:rPr>
        <w:t>6</w:t>
      </w:r>
      <w:r w:rsidR="00287ADB" w:rsidRPr="00287ADB">
        <w:rPr>
          <w:b/>
          <w:bCs/>
        </w:rPr>
        <w:t xml:space="preserve">. </w:t>
      </w:r>
      <w:r w:rsidR="00A31D00">
        <w:rPr>
          <w:b/>
          <w:bCs/>
        </w:rPr>
        <w:t>Investment policy</w:t>
      </w:r>
      <w:r w:rsidR="00287ADB" w:rsidRPr="00287ADB">
        <w:rPr>
          <w:b/>
          <w:bCs/>
        </w:rPr>
        <w:t>:</w:t>
      </w:r>
    </w:p>
    <w:p w14:paraId="3B9D96D6" w14:textId="79A43075" w:rsidR="00A31D00" w:rsidRPr="00A31D00" w:rsidRDefault="00C20117" w:rsidP="00A31D00">
      <w:r w:rsidRPr="00C20117">
        <w:t>The group has therefore adopted a low risk strategy to the investment of its funds. All funds are held in cash using only mainstream banks or building societies.</w:t>
      </w:r>
      <w:r w:rsidRPr="00C20117">
        <w:t xml:space="preserve"> </w:t>
      </w:r>
      <w:r w:rsidR="00A31D00" w:rsidRPr="00A31D00">
        <w:t xml:space="preserve">Funds not required </w:t>
      </w:r>
      <w:r w:rsidR="00A31D00" w:rsidRPr="00A31D00">
        <w:t xml:space="preserve">for </w:t>
      </w:r>
      <w:r w:rsidR="00A31D00">
        <w:t xml:space="preserve">working capital / </w:t>
      </w:r>
      <w:r w:rsidR="00A31D00" w:rsidRPr="00A31D00">
        <w:t xml:space="preserve">running costs of the Group </w:t>
      </w:r>
      <w:r>
        <w:t>will</w:t>
      </w:r>
      <w:r w:rsidR="00A31D00" w:rsidRPr="00A31D00">
        <w:t xml:space="preserve"> be transferred into a suitable investment account held in the name of the group</w:t>
      </w:r>
      <w:r>
        <w:t>, s</w:t>
      </w:r>
      <w:r w:rsidR="00A31D00" w:rsidRPr="00A31D00">
        <w:t xml:space="preserve">o that scouting can benefit from any interest which can be earned. </w:t>
      </w:r>
      <w:r w:rsidR="00A31D00">
        <w:t xml:space="preserve">Funds </w:t>
      </w:r>
      <w:r>
        <w:t>are</w:t>
      </w:r>
      <w:r w:rsidR="00A31D00">
        <w:t xml:space="preserve"> invested in low risk and ethical cash interest-bearing accounts, ensuring that </w:t>
      </w:r>
      <w:r>
        <w:t>these</w:t>
      </w:r>
      <w:r w:rsidR="00A31D00">
        <w:t xml:space="preserve"> are kept within the </w:t>
      </w:r>
      <w:r w:rsidR="00A31D00" w:rsidRPr="00A31D00">
        <w:t>Financial Services Compensation Scheme (FCSC)</w:t>
      </w:r>
      <w:r w:rsidR="00DE2A35">
        <w:t xml:space="preserve"> </w:t>
      </w:r>
      <w:r w:rsidR="00A31D00">
        <w:t>limits for any given institution (</w:t>
      </w:r>
      <w:r w:rsidR="00A31D00" w:rsidRPr="00A31D00">
        <w:t xml:space="preserve">up to £85,000 (as of </w:t>
      </w:r>
      <w:r w:rsidR="00A31D00">
        <w:t>31/08/2024</w:t>
      </w:r>
      <w:r w:rsidR="00A31D00" w:rsidRPr="00A31D00">
        <w:t>) for savings held with authorised institutions</w:t>
      </w:r>
      <w:r w:rsidR="00DE2A35">
        <w:t>)</w:t>
      </w:r>
      <w:r w:rsidR="00A31D00" w:rsidRPr="00A31D00">
        <w:t>. This compensation scheme applies to individuals and small businesses including charities.</w:t>
      </w:r>
      <w:r w:rsidR="00DE2A35">
        <w:t xml:space="preserve"> The balance relating to the reserves as set out in section 6 above will be held in an easy access interest bearing account. </w:t>
      </w:r>
    </w:p>
    <w:p w14:paraId="2D97A5A7" w14:textId="2175B6F0" w:rsidR="00287ADB" w:rsidRPr="00287ADB" w:rsidRDefault="00C20117" w:rsidP="00287ADB">
      <w:pPr>
        <w:rPr>
          <w:b/>
          <w:bCs/>
        </w:rPr>
      </w:pPr>
      <w:r>
        <w:rPr>
          <w:b/>
          <w:bCs/>
        </w:rPr>
        <w:t>7</w:t>
      </w:r>
      <w:r w:rsidR="00287ADB" w:rsidRPr="00287ADB">
        <w:rPr>
          <w:b/>
          <w:bCs/>
        </w:rPr>
        <w:t>. Annual Review:</w:t>
      </w:r>
    </w:p>
    <w:p w14:paraId="693035BA" w14:textId="20F22B73" w:rsidR="00287ADB" w:rsidRPr="00287ADB" w:rsidRDefault="00287ADB" w:rsidP="00287ADB">
      <w:r w:rsidRPr="00287ADB">
        <w:t xml:space="preserve">This </w:t>
      </w:r>
      <w:r w:rsidR="00DE2A35" w:rsidRPr="00DE2A35">
        <w:t>Investing Charity Funds Policy and Procedure</w:t>
      </w:r>
      <w:r w:rsidR="00DE2A35" w:rsidRPr="00287ADB">
        <w:t xml:space="preserve"> </w:t>
      </w:r>
      <w:r w:rsidR="00DE2A35">
        <w:t xml:space="preserve"> </w:t>
      </w:r>
      <w:r w:rsidRPr="00287ADB">
        <w:t>shall be reviewed annually by the Board of Trustees to ensure its</w:t>
      </w:r>
      <w:r w:rsidR="00DE2A35">
        <w:t xml:space="preserve"> </w:t>
      </w:r>
      <w:r w:rsidRPr="00287ADB">
        <w:t>con</w:t>
      </w:r>
      <w:r>
        <w:t>t</w:t>
      </w:r>
      <w:r w:rsidRPr="00287ADB">
        <w:t>inued effectiveness and relevance. Any necessary updates or revisions shall be made at that</w:t>
      </w:r>
      <w:r>
        <w:t xml:space="preserve"> </w:t>
      </w:r>
      <w:r w:rsidRPr="00287ADB">
        <w:t>time.</w:t>
      </w:r>
    </w:p>
    <w:p w14:paraId="230CBA6A" w14:textId="2E49B75E" w:rsidR="00287ADB" w:rsidRPr="00287ADB" w:rsidRDefault="00C20117" w:rsidP="00287ADB">
      <w:pPr>
        <w:rPr>
          <w:b/>
          <w:bCs/>
        </w:rPr>
      </w:pPr>
      <w:r>
        <w:rPr>
          <w:b/>
          <w:bCs/>
        </w:rPr>
        <w:t>8</w:t>
      </w:r>
      <w:r w:rsidR="00287ADB" w:rsidRPr="00287ADB">
        <w:rPr>
          <w:b/>
          <w:bCs/>
        </w:rPr>
        <w:t>. Public Disclosure:</w:t>
      </w:r>
    </w:p>
    <w:p w14:paraId="264662E3" w14:textId="44F687DE" w:rsidR="00287ADB" w:rsidRDefault="00287ADB" w:rsidP="00287ADB">
      <w:r w:rsidRPr="00287ADB">
        <w:t xml:space="preserve">To maintain transparency and public trust, the Scout Group shall disclose its </w:t>
      </w:r>
      <w:r w:rsidR="00DE2A35">
        <w:t>Investing charity funds</w:t>
      </w:r>
      <w:r w:rsidR="00DE2A35" w:rsidRPr="00287ADB">
        <w:t xml:space="preserve"> </w:t>
      </w:r>
      <w:r w:rsidR="00DE2A35">
        <w:t>p</w:t>
      </w:r>
      <w:r w:rsidR="00DE2A35" w:rsidRPr="00287ADB">
        <w:t>olicy</w:t>
      </w:r>
      <w:r w:rsidRPr="00287ADB">
        <w:t>, including any amendments or updates, to members, supporters, and the public upon request</w:t>
      </w:r>
      <w:r>
        <w:t xml:space="preserve"> </w:t>
      </w:r>
      <w:r w:rsidRPr="00287ADB">
        <w:t>and shall make the policy readily accessible on the organization’s website or other official channels.</w:t>
      </w:r>
    </w:p>
    <w:p w14:paraId="04E61F3B" w14:textId="77777777" w:rsidR="00C20117" w:rsidRDefault="00C20117" w:rsidP="00287ADB"/>
    <w:p w14:paraId="044F46F7" w14:textId="67FF0FEF" w:rsidR="00C20117" w:rsidRPr="00287ADB" w:rsidRDefault="00C20117" w:rsidP="00287ADB">
      <w:r w:rsidRPr="00C20117">
        <w:t xml:space="preserve">Approved </w:t>
      </w:r>
      <w:r>
        <w:t>23/09/2024</w:t>
      </w:r>
      <w:r w:rsidRPr="00C20117">
        <w:t xml:space="preserve"> </w:t>
      </w:r>
      <w:r>
        <w:tab/>
      </w:r>
      <w:r>
        <w:tab/>
      </w:r>
      <w:r>
        <w:tab/>
      </w:r>
      <w:r>
        <w:tab/>
      </w:r>
      <w:r>
        <w:tab/>
      </w:r>
      <w:r w:rsidRPr="00C20117">
        <w:t xml:space="preserve">Review due </w:t>
      </w:r>
      <w:r>
        <w:t>23/09/2025</w:t>
      </w:r>
    </w:p>
    <w:sectPr w:rsidR="00C20117" w:rsidRPr="00287ADB" w:rsidSect="00287AD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Black">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Sans-Black">
    <w:altName w:val="Calibri"/>
    <w:charset w:val="00"/>
    <w:family w:val="auto"/>
    <w:pitch w:val="variable"/>
    <w:sig w:usb0="20000007" w:usb1="00000001"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DB"/>
    <w:rsid w:val="00287ADB"/>
    <w:rsid w:val="00385E6C"/>
    <w:rsid w:val="00611115"/>
    <w:rsid w:val="00766395"/>
    <w:rsid w:val="00803FC6"/>
    <w:rsid w:val="00A17B2A"/>
    <w:rsid w:val="00A31D00"/>
    <w:rsid w:val="00BF3897"/>
    <w:rsid w:val="00C20117"/>
    <w:rsid w:val="00CD2B1A"/>
    <w:rsid w:val="00CD7E9A"/>
    <w:rsid w:val="00DE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2A4F"/>
  <w15:chartTrackingRefBased/>
  <w15:docId w15:val="{FB87646B-189F-43C5-B532-FF00888D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8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ADB"/>
    <w:rPr>
      <w:rFonts w:eastAsiaTheme="majorEastAsia" w:cstheme="majorBidi"/>
      <w:color w:val="272727" w:themeColor="text1" w:themeTint="D8"/>
    </w:rPr>
  </w:style>
  <w:style w:type="paragraph" w:styleId="Title">
    <w:name w:val="Title"/>
    <w:basedOn w:val="Normal"/>
    <w:next w:val="Normal"/>
    <w:link w:val="TitleChar"/>
    <w:uiPriority w:val="10"/>
    <w:qFormat/>
    <w:rsid w:val="0028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ADB"/>
    <w:pPr>
      <w:spacing w:before="160"/>
      <w:jc w:val="center"/>
    </w:pPr>
    <w:rPr>
      <w:i/>
      <w:iCs/>
      <w:color w:val="404040" w:themeColor="text1" w:themeTint="BF"/>
    </w:rPr>
  </w:style>
  <w:style w:type="character" w:customStyle="1" w:styleId="QuoteChar">
    <w:name w:val="Quote Char"/>
    <w:basedOn w:val="DefaultParagraphFont"/>
    <w:link w:val="Quote"/>
    <w:uiPriority w:val="29"/>
    <w:rsid w:val="00287ADB"/>
    <w:rPr>
      <w:i/>
      <w:iCs/>
      <w:color w:val="404040" w:themeColor="text1" w:themeTint="BF"/>
    </w:rPr>
  </w:style>
  <w:style w:type="paragraph" w:styleId="ListParagraph">
    <w:name w:val="List Paragraph"/>
    <w:basedOn w:val="Normal"/>
    <w:uiPriority w:val="34"/>
    <w:qFormat/>
    <w:rsid w:val="00287ADB"/>
    <w:pPr>
      <w:ind w:left="720"/>
      <w:contextualSpacing/>
    </w:pPr>
  </w:style>
  <w:style w:type="character" w:styleId="IntenseEmphasis">
    <w:name w:val="Intense Emphasis"/>
    <w:basedOn w:val="DefaultParagraphFont"/>
    <w:uiPriority w:val="21"/>
    <w:qFormat/>
    <w:rsid w:val="00287ADB"/>
    <w:rPr>
      <w:i/>
      <w:iCs/>
      <w:color w:val="0F4761" w:themeColor="accent1" w:themeShade="BF"/>
    </w:rPr>
  </w:style>
  <w:style w:type="paragraph" w:styleId="IntenseQuote">
    <w:name w:val="Intense Quote"/>
    <w:basedOn w:val="Normal"/>
    <w:next w:val="Normal"/>
    <w:link w:val="IntenseQuoteChar"/>
    <w:uiPriority w:val="30"/>
    <w:qFormat/>
    <w:rsid w:val="0028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ADB"/>
    <w:rPr>
      <w:i/>
      <w:iCs/>
      <w:color w:val="0F4761" w:themeColor="accent1" w:themeShade="BF"/>
    </w:rPr>
  </w:style>
  <w:style w:type="character" w:styleId="IntenseReference">
    <w:name w:val="Intense Reference"/>
    <w:basedOn w:val="DefaultParagraphFont"/>
    <w:uiPriority w:val="32"/>
    <w:qFormat/>
    <w:rsid w:val="00287ADB"/>
    <w:rPr>
      <w:b/>
      <w:bCs/>
      <w:smallCaps/>
      <w:color w:val="0F4761" w:themeColor="accent1" w:themeShade="BF"/>
      <w:spacing w:val="5"/>
    </w:rPr>
  </w:style>
  <w:style w:type="paragraph" w:customStyle="1" w:styleId="Subheading">
    <w:name w:val="Subheading"/>
    <w:basedOn w:val="Normal"/>
    <w:uiPriority w:val="1"/>
    <w:qFormat/>
    <w:rsid w:val="00385E6C"/>
    <w:pPr>
      <w:widowControl w:val="0"/>
      <w:autoSpaceDE w:val="0"/>
      <w:autoSpaceDN w:val="0"/>
      <w:spacing w:before="113" w:after="0" w:line="240" w:lineRule="auto"/>
    </w:pPr>
    <w:rPr>
      <w:rFonts w:ascii="Nunito Sans Black" w:eastAsia="Nunito Sans" w:hAnsi="Nunito Sans Black" w:cs="Nunito Sans"/>
      <w:color w:val="2E2E2F"/>
      <w:kern w:val="0"/>
      <w:sz w:val="60"/>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083712">
      <w:bodyDiv w:val="1"/>
      <w:marLeft w:val="0"/>
      <w:marRight w:val="0"/>
      <w:marTop w:val="0"/>
      <w:marBottom w:val="0"/>
      <w:divBdr>
        <w:top w:val="none" w:sz="0" w:space="0" w:color="auto"/>
        <w:left w:val="none" w:sz="0" w:space="0" w:color="auto"/>
        <w:bottom w:val="none" w:sz="0" w:space="0" w:color="auto"/>
        <w:right w:val="none" w:sz="0" w:space="0" w:color="auto"/>
      </w:divBdr>
    </w:div>
    <w:div w:id="12562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Pomeroy</dc:creator>
  <cp:keywords/>
  <dc:description/>
  <cp:lastModifiedBy>Catherine Pomeroy</cp:lastModifiedBy>
  <cp:revision>4</cp:revision>
  <dcterms:created xsi:type="dcterms:W3CDTF">2024-09-23T12:32:00Z</dcterms:created>
  <dcterms:modified xsi:type="dcterms:W3CDTF">2024-09-23T13:09:00Z</dcterms:modified>
</cp:coreProperties>
</file>